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Nomina Organismo di valutazione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nelle attribuzioni del sindaco nominare l'organismo indipendente di valutazione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L. 190/2012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la scadenza del mandato prevista dall'atto di nomina o, in mancanza, entro la scadenza del triennio dalla presa di possesso da parte del precedente organo di valutazione.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Strumenti di tutela giurisdizionali: -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